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F61" w:rsidRDefault="0060783E">
      <w:pPr>
        <w:tabs>
          <w:tab w:val="left" w:pos="4111"/>
          <w:tab w:val="left" w:pos="4536"/>
        </w:tabs>
        <w:spacing w:after="120" w:line="240" w:lineRule="auto"/>
        <w:jc w:val="right"/>
      </w:pPr>
      <w:r>
        <w:t>Zał. 6 do Regulaminu Konkursu Grantowego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Umowa o powierzenie grantu nr ………</w:t>
      </w: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w ramach Warmińsko-Mazurskiego Funduszu Inicjatyw Młodzieżowych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</w:pPr>
      <w:r>
        <w:t>zawarta w Elblągu w dniu ……………………… pomiędzy:</w:t>
      </w:r>
    </w:p>
    <w:p w:rsidR="00A03F61" w:rsidRDefault="0060783E">
      <w:pPr>
        <w:spacing w:after="120" w:line="240" w:lineRule="auto"/>
        <w:jc w:val="both"/>
      </w:pPr>
      <w:r>
        <w:rPr>
          <w:b/>
        </w:rPr>
        <w:t>Elbląskich Stowarzyszeniem Wspierania Inicjatyw Pozarządowych</w:t>
      </w:r>
      <w:r>
        <w:t xml:space="preserve">, ul. </w:t>
      </w:r>
      <w:proofErr w:type="spellStart"/>
      <w:r w:rsidR="00C77F30">
        <w:t>Stawidłowa</w:t>
      </w:r>
      <w:proofErr w:type="spellEnd"/>
      <w:r w:rsidR="00C77F30">
        <w:t xml:space="preserve"> 3</w:t>
      </w:r>
      <w:bookmarkStart w:id="0" w:name="_GoBack"/>
      <w:bookmarkEnd w:id="0"/>
      <w:r>
        <w:t>, 82-300 Elbląg, KRS 0000001316, NIP 5781091298, REGON 170301592, zwanym dalej „Operatorem”, reprezentowanym przez: ………………………. – …………………… oraz ……………………………… – …………………….,</w:t>
      </w:r>
    </w:p>
    <w:p w:rsidR="00A03F61" w:rsidRDefault="0060783E">
      <w:pPr>
        <w:spacing w:after="120" w:line="240" w:lineRule="auto"/>
        <w:jc w:val="center"/>
      </w:pPr>
      <w:r>
        <w:t>a</w:t>
      </w:r>
    </w:p>
    <w:p w:rsidR="00A03F61" w:rsidRDefault="0060783E">
      <w:pPr>
        <w:spacing w:after="120" w:line="240" w:lineRule="auto"/>
        <w:jc w:val="both"/>
      </w:pPr>
      <w:r>
        <w:t xml:space="preserve">…………………………………………………………………………………………, </w:t>
      </w:r>
      <w:r>
        <w:rPr>
          <w:i/>
        </w:rPr>
        <w:t>adres, nr KRS (inne</w:t>
      </w:r>
      <w:r>
        <w:rPr>
          <w:i/>
        </w:rPr>
        <w:t>go rejestru lub ewidencji), NIP, REGON</w:t>
      </w:r>
      <w:r>
        <w:t>, zwanym dalej „Realizatorem”, reprezentowanym przez: ………………………………………………………………..</w:t>
      </w:r>
    </w:p>
    <w:p w:rsidR="00A03F61" w:rsidRDefault="0060783E">
      <w:pPr>
        <w:spacing w:after="120" w:line="240" w:lineRule="auto"/>
      </w:pPr>
      <w:r>
        <w:t>zwanymi dalej „Stroną” lub „Stronami”, o następującej treści: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1. Przedmiot umowy</w:t>
      </w:r>
    </w:p>
    <w:p w:rsidR="00A03F61" w:rsidRDefault="006078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Działając na podstawie umowy nr </w:t>
      </w:r>
      <w:r>
        <w:t>7/FM/P1/2024</w:t>
      </w:r>
      <w:r>
        <w:rPr>
          <w:color w:val="000000"/>
        </w:rPr>
        <w:t xml:space="preserve"> zawartej</w:t>
      </w:r>
      <w:r>
        <w:rPr>
          <w:color w:val="000000"/>
        </w:rPr>
        <w:t xml:space="preserve"> pomiędzy Narodowym Instytutem Wolności — Centrum Rozwoju Społeczeństwa Obywatelskiego (zwanym dalej Instytucją Zarządzającą) a Operatorem na realizację zadania publicznego pn. „Warmińsko-Mazurski Fundusz Inicjatyw Młodzieżowych” w ramach Rządowego Program</w:t>
      </w:r>
      <w:r>
        <w:rPr>
          <w:color w:val="000000"/>
        </w:rPr>
        <w:t>u Fundusz Młodzieżowy na lata 2022-2033, Operator udziela Realizatorowi reprezentującemu Młodzieżową grupę nieformalną wsparcia finansowego w postaci grantu na zrealizowanie Projektu pt.: „……………………………” (zwanego dalej Projektem).</w:t>
      </w:r>
    </w:p>
    <w:p w:rsidR="00A03F61" w:rsidRDefault="006078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Termin realizacji Projektu </w:t>
      </w:r>
      <w:r>
        <w:rPr>
          <w:color w:val="000000"/>
        </w:rPr>
        <w:t>ustala się od dnia …………….. do dnia …………………</w:t>
      </w:r>
    </w:p>
    <w:p w:rsidR="00A03F61" w:rsidRDefault="006078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Strony zobowiązują się przy realizacji niniejszej Umowy przestrzegać postanowień zawartych w następujących dokumentach:</w:t>
      </w:r>
    </w:p>
    <w:p w:rsidR="00A03F61" w:rsidRDefault="006078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„Rządowy Program Fundusz Młodzieżowy na lata 2022-2033. Regulamin konkursu, edycja 2024” - dostępny na stronie </w:t>
      </w:r>
      <w:hyperlink r:id="rId8">
        <w:r>
          <w:rPr>
            <w:color w:val="0563C1"/>
            <w:u w:val="single"/>
          </w:rPr>
          <w:t>www.niw.gov.pl</w:t>
        </w:r>
      </w:hyperlink>
      <w:r>
        <w:rPr>
          <w:color w:val="000000"/>
        </w:rPr>
        <w:t>;</w:t>
      </w:r>
    </w:p>
    <w:p w:rsidR="00A03F61" w:rsidRDefault="006078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Warmińsko-Mazurski Fundusz Inicjatyw Młodzieżowych. REGULAMIN KONKURSU GRANTOWEGO - dost</w:t>
      </w:r>
      <w:r>
        <w:rPr>
          <w:color w:val="000000"/>
        </w:rPr>
        <w:t xml:space="preserve">ępny na </w:t>
      </w:r>
      <w:hyperlink r:id="rId9">
        <w:r>
          <w:rPr>
            <w:color w:val="0563C1"/>
            <w:u w:val="single"/>
          </w:rPr>
          <w:t>www.eswip.pl.</w:t>
        </w:r>
      </w:hyperlink>
    </w:p>
    <w:p w:rsidR="00A03F61" w:rsidRDefault="006078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Umowa obowiązuje od dnia jej zawarcia do dnia wykonania przez obie Strony Umowy wszystkich obowiązków z niej wynikających.</w:t>
      </w:r>
    </w:p>
    <w:p w:rsidR="00A03F61" w:rsidRDefault="00A03F61">
      <w:pPr>
        <w:spacing w:after="120" w:line="240" w:lineRule="auto"/>
        <w:jc w:val="center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2. Przekazanie grantu</w:t>
      </w:r>
    </w:p>
    <w:p w:rsidR="00A03F61" w:rsidRDefault="006078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Wsparcie finansowe, o którym mowa w § 1 ust. </w:t>
      </w:r>
      <w:r>
        <w:rPr>
          <w:color w:val="000000"/>
        </w:rPr>
        <w:t>1, zostanie wypłacone Realizatorowi przez Operatora w wysokości ………………………………………. zł (słownie: ………………………………………….) jednorazowo w formie zaliczki.</w:t>
      </w:r>
    </w:p>
    <w:p w:rsidR="00A03F61" w:rsidRDefault="006078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Środki zostaną wypłacone przelewem na rachunek bankowy Realizatora nr ………………………………………… prowadzony w banku ………………</w:t>
      </w:r>
      <w:r>
        <w:rPr>
          <w:color w:val="000000"/>
        </w:rPr>
        <w:t xml:space="preserve">…………………………………. w ciągu 14 dni od dnia zawarcia niniejszej Umowy. Za dzień przekazania </w:t>
      </w:r>
      <w:r>
        <w:t xml:space="preserve">środków </w:t>
      </w:r>
      <w:r>
        <w:rPr>
          <w:color w:val="000000"/>
        </w:rPr>
        <w:t xml:space="preserve">uznaje się dzień obciążenia rachunku </w:t>
      </w:r>
      <w:r>
        <w:t>Operatora</w:t>
      </w:r>
      <w:r>
        <w:rPr>
          <w:color w:val="000000"/>
        </w:rPr>
        <w:t>.</w:t>
      </w:r>
    </w:p>
    <w:p w:rsidR="00A03F61" w:rsidRDefault="006078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>Realizator zobowiązuje się do utrzymania wskazanego w ust. 2 rachunku nie krócej niż do chwili zaakceptowania przez Operatora sprawozdania końcowego z realizacji Projektu.</w:t>
      </w:r>
    </w:p>
    <w:p w:rsidR="00A03F61" w:rsidRDefault="00A03F61">
      <w:pPr>
        <w:spacing w:after="120" w:line="240" w:lineRule="auto"/>
        <w:jc w:val="center"/>
        <w:rPr>
          <w:b/>
        </w:rPr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3. Sposób realizacji Projektu</w:t>
      </w:r>
    </w:p>
    <w:p w:rsidR="00A03F61" w:rsidRDefault="0060783E">
      <w:pPr>
        <w:spacing w:after="0" w:line="240" w:lineRule="auto"/>
        <w:jc w:val="both"/>
      </w:pPr>
      <w:r>
        <w:t>Realizator w imieniu młodzieżowej grupy nieformalne</w:t>
      </w:r>
      <w:r>
        <w:t>j odpowiada za przyznane mu środki finansowe i zobowiązuje się do:</w:t>
      </w:r>
    </w:p>
    <w:p w:rsidR="00A03F61" w:rsidRDefault="0060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realizacji Projektu zgodnie z wnioskiem o przyznanie grantu </w:t>
      </w:r>
      <w:r>
        <w:t>/</w:t>
      </w:r>
      <w:r>
        <w:rPr>
          <w:color w:val="000000"/>
        </w:rPr>
        <w:t xml:space="preserve"> aktualizacją wniosku stanowiącym/ą załącznik do Umowy, który jest/ które są jej integralną częścią oraz zgodnie z innymi postan</w:t>
      </w:r>
      <w:r>
        <w:rPr>
          <w:color w:val="000000"/>
        </w:rPr>
        <w:t xml:space="preserve">owieniami Umowy; </w:t>
      </w:r>
    </w:p>
    <w:p w:rsidR="00A03F61" w:rsidRDefault="0060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przeznaczenia środków finansowych wyłącznie na działalność pożytku publicznego;</w:t>
      </w:r>
    </w:p>
    <w:p w:rsidR="00A03F61" w:rsidRDefault="0060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pozostawania z Operatorem w stałym kontakcie, informowania Operatora o przebiegu Projektu i napotkanych trudnościach;</w:t>
      </w:r>
    </w:p>
    <w:p w:rsidR="00A03F61" w:rsidRDefault="0060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niepobierania świadczeń pieniężnych od o</w:t>
      </w:r>
      <w:r>
        <w:rPr>
          <w:color w:val="000000"/>
        </w:rPr>
        <w:t>dbiorców realizowanego Projektu;</w:t>
      </w:r>
    </w:p>
    <w:p w:rsidR="00A03F61" w:rsidRDefault="0060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wykorzystania ewentualnych przychodów uzyskanych przy realizacji umowy oraz odsetek bankowych od przekazanych przez Operatora środków wyłącznie na realizację Projektu;</w:t>
      </w:r>
    </w:p>
    <w:p w:rsidR="00A03F61" w:rsidRDefault="00607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t>realizacji Projektu z należytą starannością i zgodnie z obowiązującym prawem, w tym przepisami dotyczącymi ochrony dzieci przed krzywdzeniem (jeżeli mają zastosowanie).</w:t>
      </w:r>
    </w:p>
    <w:p w:rsidR="00A03F61" w:rsidRDefault="00A03F61">
      <w:pPr>
        <w:spacing w:after="120" w:line="240" w:lineRule="auto"/>
        <w:jc w:val="center"/>
        <w:rPr>
          <w:b/>
        </w:rPr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4. Zmiany w Projekcie</w:t>
      </w:r>
    </w:p>
    <w:p w:rsidR="00A03F61" w:rsidRDefault="006078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Realizator może dokonywać zmian w Projekcie pod warunkiem ich </w:t>
      </w:r>
      <w:r>
        <w:rPr>
          <w:color w:val="000000"/>
        </w:rPr>
        <w:t>uprzedniego zgłoszenia Operatorowi oraz uzyskania zgody na zmianę, z zastrzeżeniem ust. 2.</w:t>
      </w:r>
    </w:p>
    <w:p w:rsidR="00A03F61" w:rsidRDefault="006078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 wymagają zgłoszenia Operatorowi następujące modyfikacje Projektu:</w:t>
      </w:r>
    </w:p>
    <w:p w:rsidR="00A03F61" w:rsidRDefault="006078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osiągnięcie wartości produktów i/lub rezultatów Projektu na poziomie wyższym, niż był planowany do osiągnięcia we wniosku o grant;</w:t>
      </w:r>
    </w:p>
    <w:p w:rsidR="00A03F61" w:rsidRDefault="006078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zmiany w budżecie projektu polegające na:</w:t>
      </w:r>
    </w:p>
    <w:p w:rsidR="00A03F61" w:rsidRDefault="006078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przesunięciu kosztów w ramach jednej kategorii kosztów, które nie przekraczają 50% wartości pozycji budżetowej, z której i na którą następuje przesunięcie;</w:t>
      </w:r>
    </w:p>
    <w:p w:rsidR="00A03F61" w:rsidRDefault="006078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przesunięcia środków z kategorii „Koszty obsługi projektu” do kategorii „Koszty realizacji działań”.</w:t>
      </w:r>
    </w:p>
    <w:p w:rsidR="00A03F61" w:rsidRDefault="006078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Zmiany, o których mowa w ust. 1, Realizator powinien zgłaszać nie później niż na 14 dni przed końcem realizacji Projektu drogą pisemną lub za pomocą poczty elektronicznej, na adres Operatora wskazany w § 12 ust. 3. </w:t>
      </w:r>
    </w:p>
    <w:p w:rsidR="00A03F61" w:rsidRDefault="006078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Zmiany w Projekcie, które powodują koni</w:t>
      </w:r>
      <w:r>
        <w:rPr>
          <w:color w:val="000000"/>
        </w:rPr>
        <w:t xml:space="preserve">eczność aneksowania niniejszej Umowy, Realizator powinien zgłosić Operatorowi drogą pisemną nie później niż 30 dni przed końcem realizacji Projektu. 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5. Obowiązki informacyjne Realizatora</w:t>
      </w:r>
    </w:p>
    <w:p w:rsidR="00A03F61" w:rsidRDefault="00607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Realizator zobowiązuje się do informowania, że „Projekt jest finansowany ze środków Narodowego Instytutu Wolności – Centrum Rozwoju Społeczeństwa Obywatelskiego otrzymanych w ramach Rządowego Programu Fundusz Młodzieżowy na lata 2022-2033”. Informacja na t</w:t>
      </w:r>
      <w:r>
        <w:rPr>
          <w:color w:val="000000"/>
        </w:rPr>
        <w:t>en temat powinna się znaleźć we wszystkich materiałach, publikacjach, informacjach dla mediów, ogłoszeniach, wystąpieniach publicznych dotyczących realizowanego Projektu oraz zakupionych rzeczach, o ile ich wielkość i przeznaczenie tego nie uniemożliwia. O</w:t>
      </w:r>
      <w:r>
        <w:rPr>
          <w:color w:val="000000"/>
        </w:rPr>
        <w:t>znaczenie to powinno być umieszczone w widocznym miejscu, umożliwiającym odbiorcy materiału odczytanie informacji dotyczącej źródła finansowania.</w:t>
      </w:r>
    </w:p>
    <w:p w:rsidR="00A03F61" w:rsidRDefault="00607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Realizator zobowiązuje się do umieszczania logo Instytucji Zarządzającej, Rządowego Programu Fundusz Młodzieżo</w:t>
      </w:r>
      <w:r>
        <w:rPr>
          <w:color w:val="000000"/>
        </w:rPr>
        <w:t>wy na lata 2022-2033, Komitetu do spraw Pożytku Publicznego oraz logo Operatora i logo zadania „Warmińsko-Mazurski Fundusz Inicjatyw Młodzieżowych” na wszystkich materiałach wytworzonych w Projekcie oraz zakupionych rzeczach, o ile ich wielkość i przeznacz</w:t>
      </w:r>
      <w:r>
        <w:rPr>
          <w:color w:val="000000"/>
        </w:rPr>
        <w:t>enie tego nie uniemożliwiają, proporcjonalnie do wielkości innych oznaczeń, w sposób zapewniający jego dobrą widoczność.</w:t>
      </w:r>
    </w:p>
    <w:p w:rsidR="00A03F61" w:rsidRDefault="00607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Realizator zobowiązuje się do stosowania wytycznych dotyczących promocji przekazywanych przez Operatora.</w:t>
      </w:r>
    </w:p>
    <w:p w:rsidR="00A03F61" w:rsidRDefault="00607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Niestosowanie przez Realizator</w:t>
      </w:r>
      <w:r>
        <w:rPr>
          <w:color w:val="000000"/>
        </w:rPr>
        <w:t>a obowiązków informacyjnych może skutkować uznaniem wydatków poniesionych w projekcie i przeznaczonych na wytworzenie nieoznakowanych materiałów za niekwalifikowalne.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6. Dokumentacja finansowo-księgowa Projektu</w:t>
      </w:r>
    </w:p>
    <w:p w:rsidR="00A03F61" w:rsidRDefault="0060783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Realizator jest zobowiązany do prowadzenia</w:t>
      </w:r>
      <w:r>
        <w:rPr>
          <w:color w:val="000000"/>
        </w:rPr>
        <w:t xml:space="preserve"> wyodrębnionej dokumentacji finansowo-księgowej i ewidencji księgowej </w:t>
      </w:r>
      <w:r>
        <w:t>Projektu</w:t>
      </w:r>
      <w:r>
        <w:rPr>
          <w:color w:val="000000"/>
        </w:rPr>
        <w:t xml:space="preserve"> zgodnie z zasadami wynikającymi z ustawy z dnia 29 września 1994 r. o rachunkowości (Dz. U. z 2023 r. poz. 120 ze zm.), w sposób umożliwiający identyfikację poszczególnych opera</w:t>
      </w:r>
      <w:r>
        <w:rPr>
          <w:color w:val="000000"/>
        </w:rPr>
        <w:t>cji księgowych.</w:t>
      </w:r>
    </w:p>
    <w:p w:rsidR="00A03F61" w:rsidRDefault="0060783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Dowody księgowe związane z realizacją zadania winny być opisy</w:t>
      </w:r>
      <w:r>
        <w:t>w</w:t>
      </w:r>
      <w:r>
        <w:rPr>
          <w:color w:val="000000"/>
        </w:rPr>
        <w:t xml:space="preserve">ane w sposób trwały </w:t>
      </w:r>
      <w:r>
        <w:t>przez Realizatora</w:t>
      </w:r>
      <w:r>
        <w:rPr>
          <w:color w:val="000000"/>
        </w:rPr>
        <w:t xml:space="preserve">. </w:t>
      </w:r>
      <w:r>
        <w:t>Opis taki powinien zawierać w</w:t>
      </w:r>
      <w:r>
        <w:rPr>
          <w:color w:val="000000"/>
        </w:rPr>
        <w:t xml:space="preserve"> szczególności: </w:t>
      </w:r>
    </w:p>
    <w:p w:rsidR="00A03F61" w:rsidRDefault="0060783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wskazanie, jakie towary lub usługi zakupiono i jakie jest ich przeznaczenie;</w:t>
      </w:r>
    </w:p>
    <w:p w:rsidR="00A03F61" w:rsidRDefault="0060783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sformułowanie</w:t>
      </w:r>
      <w:r>
        <w:rPr>
          <w:color w:val="000000"/>
        </w:rPr>
        <w:t xml:space="preserve">: „Sfinansowano z </w:t>
      </w:r>
      <w:proofErr w:type="spellStart"/>
      <w:r>
        <w:rPr>
          <w:color w:val="000000"/>
        </w:rPr>
        <w:t>mikrodotacji</w:t>
      </w:r>
      <w:proofErr w:type="spellEnd"/>
      <w:r>
        <w:rPr>
          <w:color w:val="000000"/>
        </w:rPr>
        <w:t xml:space="preserve"> Rządowego Programu Fundusz Młodzieżowy na lata 2022-2033 w wysokości …………… w ramach realizacji projektu pn. ……………………. na podstawie Umowy o udzielenie grantu nr ………”</w:t>
      </w:r>
      <w:r>
        <w:t>;</w:t>
      </w:r>
    </w:p>
    <w:p w:rsidR="00A03F61" w:rsidRDefault="0060783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odwołanie do pozycji z kosztorysu, w ramach której poniesio</w:t>
      </w:r>
      <w:r>
        <w:t>no dany wydatek;</w:t>
      </w:r>
    </w:p>
    <w:p w:rsidR="00A03F61" w:rsidRDefault="0060783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zatwierdzenie dokumentu pod względem merytorycznym i formalno-rachunkowym przez uprawnione osoby;</w:t>
      </w:r>
    </w:p>
    <w:p w:rsidR="00A03F61" w:rsidRDefault="0060783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numer wpisu dowodu do ewidencji księgowej.</w:t>
      </w:r>
      <w:r>
        <w:rPr>
          <w:color w:val="000000"/>
        </w:rPr>
        <w:t xml:space="preserve"> </w:t>
      </w:r>
    </w:p>
    <w:p w:rsidR="00A03F61" w:rsidRDefault="0060783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Brak opisu </w:t>
      </w:r>
      <w:r>
        <w:t>dowodu księgowego w sposób określony w ust. 2</w:t>
      </w:r>
      <w:r>
        <w:rPr>
          <w:color w:val="000000"/>
        </w:rPr>
        <w:t xml:space="preserve"> będzie skutkował nieuznaniem tego wydatk</w:t>
      </w:r>
      <w:r>
        <w:rPr>
          <w:color w:val="000000"/>
        </w:rPr>
        <w:t>u przez Operatora.</w:t>
      </w:r>
    </w:p>
    <w:p w:rsidR="00A03F61" w:rsidRDefault="0060783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Realizator zobowiązuje się do przechowywania całej dokumentacji, w tym dokumentacji finansowo-księgowej, związanej z realizacją Projektu przez okres 5 lat licząc od początku roku następującego po roku, w którym Operator realizował zadani</w:t>
      </w:r>
      <w:r>
        <w:rPr>
          <w:color w:val="000000"/>
        </w:rPr>
        <w:t xml:space="preserve">e publiczne, a więc do końca </w:t>
      </w:r>
      <w:r>
        <w:rPr>
          <w:color w:val="000000"/>
          <w:highlight w:val="white"/>
        </w:rPr>
        <w:t>2031</w:t>
      </w:r>
      <w:r>
        <w:rPr>
          <w:color w:val="000000"/>
        </w:rPr>
        <w:t xml:space="preserve"> roku.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7. Obowiązki sprawozdawcze Realizatora</w:t>
      </w:r>
    </w:p>
    <w:p w:rsidR="00A03F61" w:rsidRDefault="0060783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Realizator jest zobowiązany do złożenia, na formularzu udostępnionym przez Operatora, sprawozdania końcowego w ciągu 14 dni od zakończenia realizacji Projektu* / w ciągu 14 dni od dnia Warmińsko-Mazurskiego Forum Młodzieży*.</w:t>
      </w:r>
    </w:p>
    <w:p w:rsidR="00A03F61" w:rsidRDefault="0060783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Do sprawozdania końcowego Reali</w:t>
      </w:r>
      <w:r>
        <w:t xml:space="preserve">zator powinien dołączyć fotografie, materiały informacyjno-promocyjne i inne dokumenty wymienione we wzorze sprawozdania. </w:t>
      </w:r>
    </w:p>
    <w:p w:rsidR="00A03F61" w:rsidRDefault="0060783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Operator w ciągu 10 dni roboczych weryfikuje sprawozdanie końcowe złożone przez Realizatora, oceniając celowość i prawidłowość ponies</w:t>
      </w:r>
      <w:r>
        <w:rPr>
          <w:color w:val="000000"/>
        </w:rPr>
        <w:t xml:space="preserve">ienia wydatków. </w:t>
      </w:r>
    </w:p>
    <w:p w:rsidR="00A03F61" w:rsidRDefault="0060783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razie stwierdzenia, że sprawozdanie zawiera błędy, braki lub elementy wymagające wyjaśnienia, Operator zwraca się za pomocą poczty elektronicznej do Realizatora z prośbą o korektę sprawozdania, jego uzupełnienie i/lub złożenie dodatkowyc</w:t>
      </w:r>
      <w:r>
        <w:rPr>
          <w:color w:val="000000"/>
        </w:rPr>
        <w:t xml:space="preserve">h wyjaśnień. Ponadto </w:t>
      </w:r>
      <w:r>
        <w:rPr>
          <w:color w:val="000000"/>
        </w:rPr>
        <w:lastRenderedPageBreak/>
        <w:t>Operator może zażądać od Realizatora przedłożenia kserokopii/skanów dokumentów merytorycznych i księgowych związanych z realizowanym Projektem.</w:t>
      </w:r>
    </w:p>
    <w:p w:rsidR="00A03F61" w:rsidRDefault="0060783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 xml:space="preserve">Rozliczenie sprawozdania końcowego z realizacji Projektu dotyczy kwestii: </w:t>
      </w:r>
    </w:p>
    <w:p w:rsidR="00A03F61" w:rsidRDefault="0060783E">
      <w:pPr>
        <w:numPr>
          <w:ilvl w:val="0"/>
          <w:numId w:val="17"/>
        </w:numPr>
        <w:spacing w:after="0" w:line="240" w:lineRule="auto"/>
        <w:ind w:left="993" w:hanging="283"/>
        <w:jc w:val="both"/>
      </w:pPr>
      <w:r>
        <w:t>finansowych, tj.</w:t>
      </w:r>
      <w:r>
        <w:t xml:space="preserve"> zgodności ponoszonych wydatków z kosztorysem zawartym we wniosku o udzielenie grantu oraz poprawności prowadzenia dokumentacji finansowo-księgowej związanej z realizacją projektu;</w:t>
      </w:r>
    </w:p>
    <w:p w:rsidR="00A03F61" w:rsidRDefault="0060783E">
      <w:pPr>
        <w:numPr>
          <w:ilvl w:val="0"/>
          <w:numId w:val="17"/>
        </w:numPr>
        <w:spacing w:after="0" w:line="240" w:lineRule="auto"/>
        <w:ind w:left="993" w:hanging="283"/>
        <w:jc w:val="both"/>
      </w:pPr>
      <w:r>
        <w:t>merytorycznych, tj. zgodności wykonanych działań oraz osiągniętych rezultat</w:t>
      </w:r>
      <w:r>
        <w:t>ów z wnioskiem o udzielenie grantu oraz poprawności prowadzenia dokumentacji potwierdzającej wykonanie działań i rezultatów.</w:t>
      </w:r>
    </w:p>
    <w:p w:rsidR="00A03F61" w:rsidRDefault="0060783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Realizator udziela Operatorowi i Instytucji Zarządzającej prawa do rozpowszechniania informacji zawartych w sprawozdaniu końcowym w</w:t>
      </w:r>
      <w:r>
        <w:rPr>
          <w:color w:val="000000"/>
        </w:rPr>
        <w:t>e własnych sprawozdaniach, materiałach informacyjnych i promocyjnych oraz innych dokumentach urzędowych sporządzanych przez Operatora i Instytucje Zarządzającą.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8. Monitoring i kontrola</w:t>
      </w:r>
    </w:p>
    <w:p w:rsidR="00A03F61" w:rsidRDefault="00607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Operator, Instytucja Zarządzająca i osoby przez nich upoważnione mają prawo w czasie realizacji Projektu dokonywać monitoringu i kontroli mających na celu sprawdzenie prawidłowości realizacji Projektu i wydatkowania środków.</w:t>
      </w:r>
    </w:p>
    <w:p w:rsidR="00A03F61" w:rsidRDefault="00607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Operator, Instytucja Zarządzają</w:t>
      </w:r>
      <w:r>
        <w:rPr>
          <w:color w:val="000000"/>
        </w:rPr>
        <w:t>ca oraz inne uprawnione podmioty mogą przeprowadzić kontrolę po zakończeniu realizacji Projektu do końca 2031 roku.</w:t>
      </w:r>
    </w:p>
    <w:p w:rsidR="00A03F61" w:rsidRDefault="00607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ramach czynności, o których mowa w ust. 1 i 2, osoby upoważnione przez Operatora lub Instytucję Zarządzającą mogą badać dokumenty i inne nośniki informacji, które mają lub mogą mieć znaczenie dla oceny prawidłowości wykonywania Projektu, oraz żądać udzie</w:t>
      </w:r>
      <w:r>
        <w:rPr>
          <w:color w:val="000000"/>
        </w:rPr>
        <w:t>lenia ustnie lub na piśmie informacji dotyczących wykonania Projektu. Realizator na żądanie kontrolującego zobowiązuje się dostarczyć lub udostępnić dokumenty i inne nośniki informacji oraz udzielić wyjaśnień i informacji w terminie określonym przez kontro</w:t>
      </w:r>
      <w:r>
        <w:rPr>
          <w:color w:val="000000"/>
        </w:rPr>
        <w:t>lującego.</w:t>
      </w:r>
    </w:p>
    <w:p w:rsidR="00A03F61" w:rsidRDefault="00607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Prawo kontroli i monitoringu przysługuje osobom upoważnionym zarówno w siedzibie Realizatora, jak i w miejscu realizacji Projektu. Monitoring i kontrola może być także w całości lub w części przeprowadzona w siedzibie Operatora lub innych uprawni</w:t>
      </w:r>
      <w:r>
        <w:rPr>
          <w:color w:val="000000"/>
        </w:rPr>
        <w:t>onych podmiotów.</w:t>
      </w:r>
    </w:p>
    <w:p w:rsidR="00A03F61" w:rsidRDefault="00607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Realizator zostanie poinformowany o wynikach monitoringu lub kontroli, ewentualnych nieprawidłowościach, wnioskach lub zaleceniach mających na celu usunięcie nieprawidłowości, na wykonanie których ma 10 dni roboczych od dnia ich otrzymania</w:t>
      </w:r>
      <w:r>
        <w:rPr>
          <w:color w:val="000000"/>
        </w:rPr>
        <w:t>.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9. Rozwiązanie Umowy</w:t>
      </w:r>
    </w:p>
    <w:p w:rsidR="00A03F61" w:rsidRDefault="0060783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Umowa może być rozwiązana przez Operatora ze skutkiem natychmiastowym w przypadku, gdy Realizator:</w:t>
      </w:r>
    </w:p>
    <w:p w:rsidR="00A03F61" w:rsidRDefault="0060783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celu uzyskania grantu lub na etapie realizacji Projektu przedstawi fałszywe lub niepełne oświadczenia lub dokumenty;</w:t>
      </w:r>
    </w:p>
    <w:p w:rsidR="00A03F61" w:rsidRDefault="0060783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zaprzestanie realizacji Projektu;</w:t>
      </w:r>
    </w:p>
    <w:p w:rsidR="00A03F61" w:rsidRDefault="0060783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wykorzysta grant niezgodnie z celami Projektu;</w:t>
      </w:r>
    </w:p>
    <w:p w:rsidR="00A03F61" w:rsidRDefault="0060783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wykonuje umowę w sposób nieterminowy oraz nienależyty, w szczególności zmniejszy zakres rzeczowy realizowanego Projektu;</w:t>
      </w:r>
    </w:p>
    <w:p w:rsidR="00A03F61" w:rsidRDefault="0060783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 wypełni bez usprawiedliwienia któregokolwiek ze sw</w:t>
      </w:r>
      <w:r>
        <w:rPr>
          <w:color w:val="000000"/>
        </w:rPr>
        <w:t>ych zobowiązań i po otrzymaniu pisemnego upomnienia nadal ich nie wypełni lub nie przedstawi w wyznaczonym przez Operatora terminie stosownych wyjaśnień;</w:t>
      </w:r>
    </w:p>
    <w:p w:rsidR="00A03F61" w:rsidRDefault="0060783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odmówi poddania się kontroli, uniemożliwi lub utrudni jej przeprowadzenie lub nie wykona zaleceń pokon</w:t>
      </w:r>
      <w:r>
        <w:rPr>
          <w:color w:val="000000"/>
        </w:rPr>
        <w:t xml:space="preserve">trolnych we wskazanym terminie. </w:t>
      </w:r>
    </w:p>
    <w:p w:rsidR="00A03F61" w:rsidRDefault="0060783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Realizator może rozwiązać Umowę z zachowaniem miesięcznego okresu wypowiedzenia.</w:t>
      </w:r>
    </w:p>
    <w:p w:rsidR="00A03F61" w:rsidRDefault="0060783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Oświadczenie o rozwiązaniu Umowy następuje na piśmie i musi zawierać przyczyny jej rozwiązania.</w:t>
      </w:r>
    </w:p>
    <w:p w:rsidR="00A03F61" w:rsidRDefault="0060783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W przypadkach rozwiązania umowy, o których mow</w:t>
      </w:r>
      <w:r>
        <w:rPr>
          <w:color w:val="000000"/>
        </w:rPr>
        <w:t>a w ust. 1 i ust. 2, Realizator zobowiązuje się do zwrotu grantu w całości lub we wskazanej przez Operatora części, w terminie określonym przez Operatora.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10. Zwrot środków finansowych</w:t>
      </w:r>
    </w:p>
    <w:p w:rsidR="00A03F61" w:rsidRDefault="00607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Przyznane środki finansowe określone w § 2 ust. 1 oraz ewentualne uzyskane w związku z realizacją Projektu przychody, w tym odsetki bankowe od przekazanego grantu, Realizator jest zobowiązany wykorzystać w terminie </w:t>
      </w:r>
      <w:r>
        <w:t>14</w:t>
      </w:r>
      <w:r>
        <w:rPr>
          <w:color w:val="000000"/>
        </w:rPr>
        <w:t xml:space="preserve"> dni od dnia zakończenia realizacji Pro</w:t>
      </w:r>
      <w:r>
        <w:rPr>
          <w:color w:val="000000"/>
        </w:rPr>
        <w:t>jektu, o którym mowa w § 1 ust. 2.</w:t>
      </w:r>
    </w:p>
    <w:p w:rsidR="00A03F61" w:rsidRDefault="00607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razie nie wydatkowania całej kwoty grantu, Realizator zwraca niewykorzystane środki bez wezwania w terminie 14 dni od zakończenia realizacji Projektu.</w:t>
      </w:r>
    </w:p>
    <w:p w:rsidR="00A03F61" w:rsidRDefault="00607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Jeżeli w toku czynności kontrolnych, o których mowa w § 8, lub w tok</w:t>
      </w:r>
      <w:r>
        <w:rPr>
          <w:color w:val="000000"/>
        </w:rPr>
        <w:t xml:space="preserve">u weryfikacji sprawozdania końcowego z realizacji Projektu Operator uzna, że część lub całość udzielonego grantu została wykorzystana przez Realizatora niezgodnie z przeznaczeniem, Operator poinformuje Realizatora o wysokości środków, które należy zwrócić </w:t>
      </w:r>
      <w:r>
        <w:rPr>
          <w:color w:val="000000"/>
        </w:rPr>
        <w:t>oraz o terminie dokonania zwrotu.</w:t>
      </w:r>
    </w:p>
    <w:p w:rsidR="00A03F61" w:rsidRDefault="00607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Zwrot środków finansowych w przypadkach określonych w ust. 2 i 3 oraz § 9 ust. 4 następuje na rachunek bankowy Operatora: ……………………………………………………………………………………………………………………</w:t>
      </w:r>
    </w:p>
    <w:p w:rsidR="00A03F61" w:rsidRDefault="00607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W przypadku niedokonania w terminie zwrotu środków prze</w:t>
      </w:r>
      <w:r>
        <w:rPr>
          <w:color w:val="000000"/>
        </w:rPr>
        <w:t>z Realizatora, Operator podejmie przewidziane prawem kroki w celu odzyskania całości lub części grantu podlegającej zwrotowi, zaś kosztami czynności zmierzających do odzyskania nieprawidłowo wykorzystanych środków finansowych zostanie obciążony Realizator.</w:t>
      </w:r>
      <w:r>
        <w:rPr>
          <w:color w:val="000000"/>
        </w:rPr>
        <w:t xml:space="preserve"> 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</w:pPr>
      <w:r>
        <w:rPr>
          <w:b/>
        </w:rPr>
        <w:t>§ 11. Zmiana Umowy</w:t>
      </w:r>
    </w:p>
    <w:p w:rsidR="00A03F61" w:rsidRDefault="00607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Zmiany postanowień niniejszej Umowy wymagają aneksu w formie pisemnej pod rygorem nieważności, za wyjątkiem zmiany danych Stron zawartych w komparycji umowy.</w:t>
      </w:r>
    </w:p>
    <w:p w:rsidR="00A03F61" w:rsidRDefault="00607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Jeżeli wniosek o zmianę Umowy pochodzi od Realizatora, winien on przedstawić wniosek Operatorowi nie później niż w terminie 14 dni przed dniem, w którym zmiana ta powinna wejść w życie.</w:t>
      </w:r>
    </w:p>
    <w:p w:rsidR="00A03F61" w:rsidRDefault="00607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Zasada, o której mowa w ust. 2 nie dotyczy sytuacji, gdy niezachowanie</w:t>
      </w:r>
      <w:r>
        <w:rPr>
          <w:color w:val="000000"/>
        </w:rPr>
        <w:t xml:space="preserve"> terminu, o którym mowa w ust. 2, nastąpi z przyczyn niezależnych od Realizatora lub zostało zaakceptowane przez Operatora.</w:t>
      </w:r>
    </w:p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12. Zasady komunikacji pomiędzy Stronami</w:t>
      </w:r>
    </w:p>
    <w:p w:rsidR="00A03F61" w:rsidRDefault="00607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Strony ustalają, że będą akceptować oświadczenia woli składane w formie dokumentowej, o </w:t>
      </w:r>
      <w:r>
        <w:rPr>
          <w:color w:val="000000"/>
        </w:rPr>
        <w:t>ile Umowa lub przepis prawa nie wymaga składania oświadczeń woli w innej formie.</w:t>
      </w:r>
    </w:p>
    <w:p w:rsidR="00A03F61" w:rsidRDefault="00607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Do uzgadniania bieżących spraw wynikających z realizacji Umowy upoważnione są następujące osoby:</w:t>
      </w:r>
    </w:p>
    <w:p w:rsidR="00A03F61" w:rsidRDefault="006078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ze strony Operatora: ……………………………………………, tel. ………………………………., e-mail ………………………………….;</w:t>
      </w:r>
    </w:p>
    <w:p w:rsidR="00A03F61" w:rsidRDefault="006078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ze strony Realizatora: ……………………………………………, tel. ………………………………., e-mail ………………………………….</w:t>
      </w:r>
    </w:p>
    <w:p w:rsidR="00A03F61" w:rsidRDefault="00607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Korespondencja pisemna związana z realizacją Umowy będzie kierowana na poniższe adresy:</w:t>
      </w:r>
    </w:p>
    <w:p w:rsidR="00A03F61" w:rsidRDefault="006078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</w:rPr>
        <w:t>perator: Stowarzyszenie ESWIP, Biuro Projektu „Warmińsko-Mazurski Fundusz Inicjatyw Młodzieżowych”, ul. Parkowa 1 pok. 7, 10-233 Olsztyn;</w:t>
      </w:r>
    </w:p>
    <w:p w:rsidR="00A03F61" w:rsidRDefault="006078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Realizator: …………………………………………………………………………..</w:t>
      </w:r>
    </w:p>
    <w:p w:rsidR="00A03F61" w:rsidRDefault="00A03F61">
      <w:pPr>
        <w:spacing w:after="120" w:line="240" w:lineRule="auto"/>
        <w:jc w:val="center"/>
        <w:rPr>
          <w:b/>
        </w:rPr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13. Przetwarzanie danych osobowych</w:t>
      </w:r>
    </w:p>
    <w:p w:rsidR="00A03F61" w:rsidRDefault="0060783E">
      <w:pPr>
        <w:numPr>
          <w:ilvl w:val="0"/>
          <w:numId w:val="15"/>
        </w:numPr>
        <w:spacing w:after="0" w:line="240" w:lineRule="auto"/>
        <w:jc w:val="both"/>
      </w:pPr>
      <w:r>
        <w:t xml:space="preserve">Zgodnie z Rozporządzeniem Parlamentu Europejskiego i Rady Unii Europejskiej nr 2016/679 w sprawie ochrony osób fizycznych w związku z przetwarzaniem danych osobowych i w sprawie swobodnego przepływu takich danych: </w:t>
      </w:r>
    </w:p>
    <w:p w:rsidR="00A03F61" w:rsidRDefault="0060783E">
      <w:pPr>
        <w:numPr>
          <w:ilvl w:val="0"/>
          <w:numId w:val="7"/>
        </w:numPr>
        <w:spacing w:after="0" w:line="240" w:lineRule="auto"/>
        <w:jc w:val="both"/>
      </w:pPr>
      <w:r>
        <w:t>„przetwarzanie” oznacza operację lub zest</w:t>
      </w:r>
      <w:r>
        <w:t>aw operacji wykonywanych na danych osobowych lub zestawach danych osobowych w sposób zautomatyzowany lub niezautomatyzowany, taką jak zbieranie, utrwalanie, organizowanie, porządkowanie, przechowywanie, adaptowanie lub modyfikowanie, pobieranie, przeglądan</w:t>
      </w:r>
      <w:r>
        <w:t>ie, wykorzystywanie, ujawnianie poprzez przesłanie, rozpowszechnianie lub innego rodzaju udostępnianie, dopasowywanie lub łączenie, ograniczanie, usuwanie lub niszczenie (art. 4 pkt 2);</w:t>
      </w:r>
    </w:p>
    <w:p w:rsidR="00A03F61" w:rsidRDefault="0060783E">
      <w:pPr>
        <w:numPr>
          <w:ilvl w:val="0"/>
          <w:numId w:val="7"/>
        </w:numPr>
        <w:spacing w:after="0" w:line="240" w:lineRule="auto"/>
        <w:jc w:val="both"/>
      </w:pPr>
      <w:r>
        <w:t>„administrator” oznacza osobę fizyczną lub prawną, organ publiczny, je</w:t>
      </w:r>
      <w:r>
        <w:t>dnostkę lub inny podmiot, który samodzielnie lub wspólnie z innymi ustala cele i sposoby przetwarzania danych osobowych (art. 4 pkt 7 RODO).</w:t>
      </w:r>
    </w:p>
    <w:p w:rsidR="00A03F61" w:rsidRDefault="0060783E">
      <w:pPr>
        <w:numPr>
          <w:ilvl w:val="0"/>
          <w:numId w:val="15"/>
        </w:numPr>
        <w:spacing w:after="0" w:line="240" w:lineRule="auto"/>
        <w:jc w:val="both"/>
      </w:pPr>
      <w:r>
        <w:t>W przypadku przetwarzania danych osobowych uczestników i uczestniczek Projektu oraz osób zaangażowanych w realizacj</w:t>
      </w:r>
      <w:r>
        <w:t xml:space="preserve">ę Projektu, Realizator jest administratorem danych tych osób. </w:t>
      </w:r>
    </w:p>
    <w:p w:rsidR="00A03F61" w:rsidRDefault="0060783E">
      <w:pPr>
        <w:numPr>
          <w:ilvl w:val="0"/>
          <w:numId w:val="15"/>
        </w:numPr>
        <w:spacing w:after="120" w:line="240" w:lineRule="auto"/>
        <w:jc w:val="both"/>
      </w:pPr>
      <w:r>
        <w:t>Realizator zobowiązany jest poinformować osoby wymienione w ust. 2 o możliwości przekazania danych osobowych wyżej wymienionych osób do Operatora i Instytucji Zarządzającej oraz posiadać ich zg</w:t>
      </w:r>
      <w:r>
        <w:t>odę na przetwarzanie ich danych, która zawiera w szczególności zgodę na udostępnianie ich danych do celów monitoringu i kontroli w ramach realizowanego Projektu oraz przeprowadzanych na zlecenie Instytucji Zarządzającej ewaluacji.</w:t>
      </w:r>
    </w:p>
    <w:p w:rsidR="00A03F61" w:rsidRDefault="00A03F61">
      <w:pPr>
        <w:spacing w:after="120" w:line="240" w:lineRule="auto"/>
        <w:jc w:val="center"/>
        <w:rPr>
          <w:b/>
        </w:rPr>
      </w:pPr>
    </w:p>
    <w:p w:rsidR="00A03F61" w:rsidRDefault="0060783E">
      <w:pPr>
        <w:spacing w:after="120" w:line="240" w:lineRule="auto"/>
        <w:jc w:val="center"/>
        <w:rPr>
          <w:b/>
        </w:rPr>
      </w:pPr>
      <w:r>
        <w:rPr>
          <w:b/>
        </w:rPr>
        <w:t>§ 14. Postanowienia końc</w:t>
      </w:r>
      <w:r>
        <w:rPr>
          <w:b/>
        </w:rPr>
        <w:t>owe</w:t>
      </w:r>
    </w:p>
    <w:p w:rsidR="00A03F61" w:rsidRDefault="006078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Operator nie ponosi odpowiedzialności wobec osób trzecich za szkody powstałe w związku z realizacją Projektu.</w:t>
      </w:r>
    </w:p>
    <w:p w:rsidR="00A03F61" w:rsidRDefault="006078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Spory związane z realizacją Umowy Strony będą starały się rozwiązać polubownie.</w:t>
      </w:r>
    </w:p>
    <w:p w:rsidR="00A03F61" w:rsidRDefault="006078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przypadku braku porozumienia spór będzie podlegał rozstrzygnięciu przez sąd powszechny właściwy dla siedziby Operatora.</w:t>
      </w:r>
    </w:p>
    <w:p w:rsidR="00A03F61" w:rsidRDefault="006078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Wszelkie wątpliwości związane z realizacją niniejszej umowy wyjaśniane będą w formie pisemnej.</w:t>
      </w:r>
    </w:p>
    <w:p w:rsidR="00A03F61" w:rsidRDefault="006078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Umowa została sporządzona w dwóch jednobrzmiących egzemplarzach, po jednym dla każdej ze Stron.</w:t>
      </w:r>
    </w:p>
    <w:p w:rsidR="00A03F61" w:rsidRDefault="00A03F61">
      <w:pPr>
        <w:spacing w:after="120" w:line="240" w:lineRule="auto"/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992"/>
        <w:gridCol w:w="3964"/>
      </w:tblGrid>
      <w:tr w:rsidR="00A03F61">
        <w:tc>
          <w:tcPr>
            <w:tcW w:w="4106" w:type="dxa"/>
          </w:tcPr>
          <w:p w:rsidR="00A03F61" w:rsidRDefault="0060783E">
            <w:pPr>
              <w:spacing w:after="120"/>
              <w:jc w:val="center"/>
            </w:pPr>
            <w:r>
              <w:t>Operator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03F61" w:rsidRDefault="00A03F61">
            <w:pPr>
              <w:spacing w:after="120"/>
              <w:jc w:val="center"/>
            </w:pPr>
          </w:p>
        </w:tc>
        <w:tc>
          <w:tcPr>
            <w:tcW w:w="3964" w:type="dxa"/>
          </w:tcPr>
          <w:p w:rsidR="00A03F61" w:rsidRDefault="0060783E">
            <w:pPr>
              <w:spacing w:after="120"/>
              <w:jc w:val="center"/>
            </w:pPr>
            <w:r>
              <w:t>Realizator</w:t>
            </w:r>
          </w:p>
        </w:tc>
      </w:tr>
      <w:tr w:rsidR="00A03F61">
        <w:trPr>
          <w:trHeight w:val="1668"/>
        </w:trPr>
        <w:tc>
          <w:tcPr>
            <w:tcW w:w="4106" w:type="dxa"/>
          </w:tcPr>
          <w:p w:rsidR="00A03F61" w:rsidRDefault="00A03F61">
            <w:pPr>
              <w:spacing w:after="120"/>
            </w:pPr>
          </w:p>
          <w:p w:rsidR="00A03F61" w:rsidRDefault="00A03F61">
            <w:pPr>
              <w:spacing w:after="120"/>
            </w:pPr>
          </w:p>
          <w:p w:rsidR="00A03F61" w:rsidRDefault="00A03F61">
            <w:pPr>
              <w:spacing w:after="120"/>
            </w:pPr>
          </w:p>
          <w:p w:rsidR="00A03F61" w:rsidRDefault="0060783E">
            <w:pPr>
              <w:spacing w:after="120"/>
            </w:pPr>
            <w:r>
              <w:t>……………………………………………………………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03F61" w:rsidRDefault="00A03F61">
            <w:pPr>
              <w:spacing w:after="120"/>
            </w:pPr>
          </w:p>
        </w:tc>
        <w:tc>
          <w:tcPr>
            <w:tcW w:w="3964" w:type="dxa"/>
          </w:tcPr>
          <w:p w:rsidR="00A03F61" w:rsidRDefault="00A03F61">
            <w:pPr>
              <w:spacing w:after="120"/>
            </w:pPr>
          </w:p>
          <w:p w:rsidR="00A03F61" w:rsidRDefault="00A03F61">
            <w:pPr>
              <w:spacing w:after="120"/>
            </w:pPr>
          </w:p>
          <w:p w:rsidR="00A03F61" w:rsidRDefault="00A03F61">
            <w:pPr>
              <w:spacing w:after="120"/>
            </w:pPr>
          </w:p>
          <w:p w:rsidR="00A03F61" w:rsidRDefault="0060783E">
            <w:pPr>
              <w:spacing w:after="120"/>
            </w:pPr>
            <w:r>
              <w:t>………………………………………………………….</w:t>
            </w:r>
          </w:p>
        </w:tc>
      </w:tr>
    </w:tbl>
    <w:p w:rsidR="00A03F61" w:rsidRDefault="00A03F61">
      <w:pPr>
        <w:spacing w:after="120" w:line="240" w:lineRule="auto"/>
      </w:pPr>
    </w:p>
    <w:p w:rsidR="00A03F61" w:rsidRDefault="0060783E">
      <w:pPr>
        <w:spacing w:after="120" w:line="240" w:lineRule="auto"/>
        <w:rPr>
          <w:i/>
        </w:rPr>
      </w:pPr>
      <w:r>
        <w:rPr>
          <w:i/>
        </w:rPr>
        <w:t xml:space="preserve">* niepotrzebne </w:t>
      </w:r>
      <w:proofErr w:type="spellStart"/>
      <w:r>
        <w:rPr>
          <w:i/>
        </w:rPr>
        <w:t>skreslić</w:t>
      </w:r>
      <w:proofErr w:type="spellEnd"/>
    </w:p>
    <w:sectPr w:rsidR="00A03F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8" w:footer="4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83E" w:rsidRDefault="0060783E">
      <w:pPr>
        <w:spacing w:after="0" w:line="240" w:lineRule="auto"/>
      </w:pPr>
      <w:r>
        <w:separator/>
      </w:r>
    </w:p>
  </w:endnote>
  <w:endnote w:type="continuationSeparator" w:id="0">
    <w:p w:rsidR="0060783E" w:rsidRDefault="0060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F61" w:rsidRDefault="00A03F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F61" w:rsidRDefault="00607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870960" cy="708660"/>
          <wp:effectExtent l="0" t="0" r="0" b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96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03F61" w:rsidRDefault="0060783E">
    <w:pPr>
      <w:spacing w:after="0" w:line="240" w:lineRule="auto"/>
      <w:jc w:val="center"/>
      <w:rPr>
        <w:sz w:val="18"/>
        <w:szCs w:val="18"/>
      </w:rPr>
    </w:pPr>
    <w:bookmarkStart w:id="1" w:name="_heading=h.gjdgxs" w:colFirst="0" w:colLast="0"/>
    <w:bookmarkEnd w:id="1"/>
    <w:r>
      <w:rPr>
        <w:b/>
        <w:sz w:val="18"/>
        <w:szCs w:val="18"/>
      </w:rPr>
      <w:t>SFINANSOWANO ZE ŚRODKÓW NARODOWEGO INSTYTUTU WOLNOŚCI – CENTRUM ROZWOJU SPOŁECZEŃSTWA OBYWATELSKIEGO</w:t>
    </w:r>
    <w:r>
      <w:rPr>
        <w:sz w:val="18"/>
        <w:szCs w:val="18"/>
      </w:rPr>
      <w:t xml:space="preserve"> W RAMACH RZĄDOWEGO PROGRAMU FUNDUSZ MŁODZIEŻOWY NA LATA 2022-2033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F61" w:rsidRDefault="00A03F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83E" w:rsidRDefault="0060783E">
      <w:pPr>
        <w:spacing w:after="0" w:line="240" w:lineRule="auto"/>
      </w:pPr>
      <w:r>
        <w:separator/>
      </w:r>
    </w:p>
  </w:footnote>
  <w:footnote w:type="continuationSeparator" w:id="0">
    <w:p w:rsidR="0060783E" w:rsidRDefault="0060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F61" w:rsidRDefault="00A03F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F61" w:rsidRDefault="006078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57594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F61" w:rsidRDefault="00A03F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382"/>
    <w:multiLevelType w:val="multilevel"/>
    <w:tmpl w:val="910CD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3040"/>
    <w:multiLevelType w:val="multilevel"/>
    <w:tmpl w:val="93FE011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BA26B4"/>
    <w:multiLevelType w:val="multilevel"/>
    <w:tmpl w:val="1F28839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5C7A8F"/>
    <w:multiLevelType w:val="multilevel"/>
    <w:tmpl w:val="14BE3F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19EC"/>
    <w:multiLevelType w:val="multilevel"/>
    <w:tmpl w:val="2B5E3E6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27765A6"/>
    <w:multiLevelType w:val="multilevel"/>
    <w:tmpl w:val="D67E6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C59D2"/>
    <w:multiLevelType w:val="multilevel"/>
    <w:tmpl w:val="39B09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C5E10"/>
    <w:multiLevelType w:val="multilevel"/>
    <w:tmpl w:val="B2F62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23BEB"/>
    <w:multiLevelType w:val="multilevel"/>
    <w:tmpl w:val="DD0216F8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DE1131E"/>
    <w:multiLevelType w:val="multilevel"/>
    <w:tmpl w:val="51F0D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D0778"/>
    <w:multiLevelType w:val="multilevel"/>
    <w:tmpl w:val="81CA95D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654BD5"/>
    <w:multiLevelType w:val="multilevel"/>
    <w:tmpl w:val="FD568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0BF4"/>
    <w:multiLevelType w:val="multilevel"/>
    <w:tmpl w:val="5DC613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D85413"/>
    <w:multiLevelType w:val="multilevel"/>
    <w:tmpl w:val="5AC6C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52E2F"/>
    <w:multiLevelType w:val="multilevel"/>
    <w:tmpl w:val="E45E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264F3"/>
    <w:multiLevelType w:val="multilevel"/>
    <w:tmpl w:val="1A6A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D7158"/>
    <w:multiLevelType w:val="multilevel"/>
    <w:tmpl w:val="2B12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7AFB"/>
    <w:multiLevelType w:val="multilevel"/>
    <w:tmpl w:val="93A6DFC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6EAA3037"/>
    <w:multiLevelType w:val="multilevel"/>
    <w:tmpl w:val="FA788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26549"/>
    <w:multiLevelType w:val="multilevel"/>
    <w:tmpl w:val="DE4A6D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97C4EE4"/>
    <w:multiLevelType w:val="multilevel"/>
    <w:tmpl w:val="8AB833B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EC2F18"/>
    <w:multiLevelType w:val="multilevel"/>
    <w:tmpl w:val="D12E6BA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AB34FB"/>
    <w:multiLevelType w:val="multilevel"/>
    <w:tmpl w:val="6010A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22"/>
  </w:num>
  <w:num w:numId="5">
    <w:abstractNumId w:val="16"/>
  </w:num>
  <w:num w:numId="6">
    <w:abstractNumId w:val="13"/>
  </w:num>
  <w:num w:numId="7">
    <w:abstractNumId w:val="17"/>
  </w:num>
  <w:num w:numId="8">
    <w:abstractNumId w:val="6"/>
  </w:num>
  <w:num w:numId="9">
    <w:abstractNumId w:val="12"/>
  </w:num>
  <w:num w:numId="10">
    <w:abstractNumId w:val="18"/>
  </w:num>
  <w:num w:numId="11">
    <w:abstractNumId w:val="21"/>
  </w:num>
  <w:num w:numId="12">
    <w:abstractNumId w:val="5"/>
  </w:num>
  <w:num w:numId="13">
    <w:abstractNumId w:val="2"/>
  </w:num>
  <w:num w:numId="14">
    <w:abstractNumId w:val="15"/>
  </w:num>
  <w:num w:numId="15">
    <w:abstractNumId w:val="19"/>
  </w:num>
  <w:num w:numId="16">
    <w:abstractNumId w:val="20"/>
  </w:num>
  <w:num w:numId="17">
    <w:abstractNumId w:val="8"/>
  </w:num>
  <w:num w:numId="18">
    <w:abstractNumId w:val="7"/>
  </w:num>
  <w:num w:numId="19">
    <w:abstractNumId w:val="9"/>
  </w:num>
  <w:num w:numId="20">
    <w:abstractNumId w:val="1"/>
  </w:num>
  <w:num w:numId="21">
    <w:abstractNumId w:val="0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61"/>
    <w:rsid w:val="0060783E"/>
    <w:rsid w:val="00A03F61"/>
    <w:rsid w:val="00C7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28BD"/>
  <w15:docId w15:val="{1EEB6A01-234A-45E8-8B02-3101F0DB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78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A45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5F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5F2"/>
    <w:pPr>
      <w:ind w:left="720"/>
      <w:contextualSpacing/>
    </w:pPr>
  </w:style>
  <w:style w:type="table" w:styleId="Tabela-Siatka">
    <w:name w:val="Table Grid"/>
    <w:basedOn w:val="Standardowy"/>
    <w:uiPriority w:val="39"/>
    <w:rsid w:val="00B0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0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0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901"/>
  </w:style>
  <w:style w:type="paragraph" w:styleId="Stopka">
    <w:name w:val="footer"/>
    <w:basedOn w:val="Normalny"/>
    <w:link w:val="StopkaZnak"/>
    <w:uiPriority w:val="99"/>
    <w:unhideWhenUsed/>
    <w:rsid w:val="009B0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901"/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wip.pl.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Q3IlINVTveb/9AHsNGsGOE4Yg==">CgMxLjAyCGguZ2pkZ3hzOAByITFtdkFrSzJJQUItSnAyMlY0QS1OV0VFZE52TVVrcDQ4Rg==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2368</Words>
  <Characters>14214</Characters>
  <Application>Microsoft Office Word</Application>
  <DocSecurity>0</DocSecurity>
  <Lines>118</Lines>
  <Paragraphs>33</Paragraphs>
  <ScaleCrop>false</ScaleCrop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Monika</cp:lastModifiedBy>
  <cp:revision>2</cp:revision>
  <dcterms:created xsi:type="dcterms:W3CDTF">2024-04-25T11:57:00Z</dcterms:created>
  <dcterms:modified xsi:type="dcterms:W3CDTF">2025-09-08T08:55:00Z</dcterms:modified>
</cp:coreProperties>
</file>